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D4983"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2A95960F"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718FBC32"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0820C750"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2B004D62"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78704765"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0C3D5C04"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744F80AD"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3FE56495"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4EED976A"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450B4563"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153A76C6"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252347FA"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1DC79DF8"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4B404C34" w14:textId="27A777D5" w:rsidR="00CF254D" w:rsidRPr="00CF254D" w:rsidRDefault="00CF254D" w:rsidP="003D4F92">
      <w:pPr>
        <w:spacing w:after="0" w:line="480" w:lineRule="auto"/>
        <w:contextualSpacing/>
        <w:jc w:val="center"/>
        <w:rPr>
          <w:rFonts w:ascii="Times New Roman" w:hAnsi="Times New Roman" w:cs="Times New Roman"/>
          <w:color w:val="202124"/>
          <w:sz w:val="24"/>
          <w:szCs w:val="24"/>
          <w:shd w:val="clear" w:color="auto" w:fill="FFFFFF"/>
        </w:rPr>
      </w:pPr>
      <w:r w:rsidRPr="00CF254D">
        <w:rPr>
          <w:rFonts w:ascii="Times New Roman" w:hAnsi="Times New Roman" w:cs="Times New Roman"/>
          <w:color w:val="202124"/>
          <w:sz w:val="24"/>
          <w:szCs w:val="24"/>
          <w:shd w:val="clear" w:color="auto" w:fill="FFFFFF"/>
        </w:rPr>
        <w:t>Early Believers</w:t>
      </w:r>
    </w:p>
    <w:p w14:paraId="5EACF953" w14:textId="10FDC4DA" w:rsidR="00CF254D" w:rsidRPr="00CF254D" w:rsidRDefault="00CF254D" w:rsidP="003D4F92">
      <w:pPr>
        <w:spacing w:after="0" w:line="480" w:lineRule="auto"/>
        <w:contextualSpacing/>
        <w:jc w:val="center"/>
        <w:rPr>
          <w:rFonts w:ascii="Times New Roman" w:hAnsi="Times New Roman" w:cs="Times New Roman"/>
          <w:color w:val="202124"/>
          <w:sz w:val="24"/>
          <w:szCs w:val="24"/>
          <w:shd w:val="clear" w:color="auto" w:fill="FFFFFF"/>
        </w:rPr>
      </w:pPr>
      <w:r w:rsidRPr="00CF254D">
        <w:rPr>
          <w:rFonts w:ascii="Times New Roman" w:hAnsi="Times New Roman" w:cs="Times New Roman"/>
          <w:color w:val="202124"/>
          <w:sz w:val="24"/>
          <w:szCs w:val="24"/>
          <w:shd w:val="clear" w:color="auto" w:fill="FFFFFF"/>
        </w:rPr>
        <w:t>Student’s Name</w:t>
      </w:r>
    </w:p>
    <w:p w14:paraId="727589C0" w14:textId="1F3E71FA" w:rsidR="00CF254D" w:rsidRPr="00CF254D" w:rsidRDefault="00CF254D" w:rsidP="003D4F92">
      <w:pPr>
        <w:spacing w:after="0" w:line="480" w:lineRule="auto"/>
        <w:contextualSpacing/>
        <w:jc w:val="center"/>
        <w:rPr>
          <w:rFonts w:ascii="Times New Roman" w:hAnsi="Times New Roman" w:cs="Times New Roman"/>
          <w:color w:val="202124"/>
          <w:sz w:val="24"/>
          <w:szCs w:val="24"/>
          <w:shd w:val="clear" w:color="auto" w:fill="FFFFFF"/>
        </w:rPr>
      </w:pPr>
      <w:r w:rsidRPr="00CF254D">
        <w:rPr>
          <w:rFonts w:ascii="Times New Roman" w:hAnsi="Times New Roman" w:cs="Times New Roman"/>
          <w:color w:val="202124"/>
          <w:sz w:val="24"/>
          <w:szCs w:val="24"/>
          <w:shd w:val="clear" w:color="auto" w:fill="FFFFFF"/>
        </w:rPr>
        <w:t>Institutional Affiliation</w:t>
      </w:r>
    </w:p>
    <w:p w14:paraId="39A740F6" w14:textId="53A12D97" w:rsidR="00CF254D" w:rsidRPr="00CF254D" w:rsidRDefault="00CF254D" w:rsidP="003D4F92">
      <w:pPr>
        <w:spacing w:after="0" w:line="480" w:lineRule="auto"/>
        <w:contextualSpacing/>
        <w:jc w:val="center"/>
        <w:rPr>
          <w:rFonts w:ascii="Times New Roman" w:hAnsi="Times New Roman" w:cs="Times New Roman"/>
          <w:color w:val="202124"/>
          <w:sz w:val="24"/>
          <w:szCs w:val="24"/>
          <w:shd w:val="clear" w:color="auto" w:fill="FFFFFF"/>
        </w:rPr>
      </w:pPr>
      <w:r w:rsidRPr="00CF254D">
        <w:rPr>
          <w:rFonts w:ascii="Times New Roman" w:hAnsi="Times New Roman" w:cs="Times New Roman"/>
          <w:color w:val="202124"/>
          <w:sz w:val="24"/>
          <w:szCs w:val="24"/>
          <w:shd w:val="clear" w:color="auto" w:fill="FFFFFF"/>
        </w:rPr>
        <w:t xml:space="preserve">Date </w:t>
      </w:r>
    </w:p>
    <w:p w14:paraId="45BFFEC6"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4FBB7DED"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70E3C44E"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24AE0947" w14:textId="77777777" w:rsidR="00CF254D" w:rsidRDefault="00CF254D" w:rsidP="003D4F92">
      <w:pPr>
        <w:spacing w:after="0" w:line="480" w:lineRule="auto"/>
        <w:contextualSpacing/>
        <w:jc w:val="center"/>
        <w:rPr>
          <w:rFonts w:ascii="Times New Roman" w:hAnsi="Times New Roman" w:cs="Times New Roman"/>
          <w:b/>
          <w:color w:val="202124"/>
          <w:sz w:val="24"/>
          <w:szCs w:val="24"/>
          <w:shd w:val="clear" w:color="auto" w:fill="FFFFFF"/>
        </w:rPr>
      </w:pPr>
    </w:p>
    <w:p w14:paraId="1058C523" w14:textId="08E3A1F4" w:rsidR="00CF254D" w:rsidRDefault="00CF254D" w:rsidP="00CF254D">
      <w:pPr>
        <w:spacing w:after="0" w:line="480" w:lineRule="auto"/>
        <w:contextualSpacing/>
        <w:rPr>
          <w:rFonts w:ascii="Times New Roman" w:hAnsi="Times New Roman" w:cs="Times New Roman"/>
          <w:b/>
          <w:color w:val="202124"/>
          <w:sz w:val="24"/>
          <w:szCs w:val="24"/>
          <w:shd w:val="clear" w:color="auto" w:fill="FFFFFF"/>
        </w:rPr>
      </w:pPr>
    </w:p>
    <w:p w14:paraId="51C1E66D" w14:textId="424947EA" w:rsidR="002813EA" w:rsidRPr="00D92379" w:rsidRDefault="002813EA" w:rsidP="003D4F92">
      <w:pPr>
        <w:spacing w:after="0" w:line="480" w:lineRule="auto"/>
        <w:contextualSpacing/>
        <w:jc w:val="center"/>
        <w:rPr>
          <w:rFonts w:ascii="Times New Roman" w:hAnsi="Times New Roman" w:cs="Times New Roman"/>
          <w:b/>
          <w:color w:val="202124"/>
          <w:sz w:val="24"/>
          <w:szCs w:val="24"/>
          <w:shd w:val="clear" w:color="auto" w:fill="FFFFFF"/>
        </w:rPr>
      </w:pPr>
      <w:r w:rsidRPr="00D92379">
        <w:rPr>
          <w:rFonts w:ascii="Times New Roman" w:hAnsi="Times New Roman" w:cs="Times New Roman"/>
          <w:b/>
          <w:color w:val="202124"/>
          <w:sz w:val="24"/>
          <w:szCs w:val="24"/>
          <w:shd w:val="clear" w:color="auto" w:fill="FFFFFF"/>
        </w:rPr>
        <w:lastRenderedPageBreak/>
        <w:t>Early Believers</w:t>
      </w:r>
    </w:p>
    <w:p w14:paraId="038BF6CE" w14:textId="21AEABF0" w:rsidR="003946A1" w:rsidRPr="00EE3766" w:rsidRDefault="00D92379" w:rsidP="00CC1140">
      <w:pPr>
        <w:spacing w:after="0" w:line="480" w:lineRule="auto"/>
        <w:contextualSpacing/>
        <w:rPr>
          <w:rFonts w:ascii="Times New Roman" w:hAnsi="Times New Roman" w:cs="Times New Roman"/>
          <w:i/>
          <w:iCs/>
          <w:color w:val="202124"/>
          <w:sz w:val="24"/>
          <w:szCs w:val="24"/>
          <w:shd w:val="clear" w:color="auto" w:fill="FFFFFF"/>
        </w:rPr>
      </w:pPr>
      <w:r w:rsidRPr="00EE3766">
        <w:rPr>
          <w:rFonts w:ascii="Times New Roman" w:hAnsi="Times New Roman" w:cs="Times New Roman"/>
          <w:i/>
          <w:iCs/>
          <w:color w:val="202124"/>
          <w:sz w:val="24"/>
          <w:szCs w:val="24"/>
          <w:shd w:val="clear" w:color="auto" w:fill="FFFFFF"/>
        </w:rPr>
        <w:t>1</w:t>
      </w:r>
      <w:r w:rsidRPr="00CF254D">
        <w:rPr>
          <w:rFonts w:ascii="Times New Roman" w:hAnsi="Times New Roman" w:cs="Times New Roman"/>
          <w:b/>
          <w:iCs/>
          <w:color w:val="202124"/>
          <w:sz w:val="24"/>
          <w:szCs w:val="24"/>
          <w:shd w:val="clear" w:color="auto" w:fill="FFFFFF"/>
        </w:rPr>
        <w:t>. What</w:t>
      </w:r>
      <w:r w:rsidR="002813EA" w:rsidRPr="00CF254D">
        <w:rPr>
          <w:rFonts w:ascii="Times New Roman" w:hAnsi="Times New Roman" w:cs="Times New Roman"/>
          <w:b/>
          <w:iCs/>
          <w:color w:val="202124"/>
          <w:sz w:val="24"/>
          <w:szCs w:val="24"/>
          <w:shd w:val="clear" w:color="auto" w:fill="FFFFFF"/>
        </w:rPr>
        <w:t xml:space="preserve"> is the significance of Stephen’s dying vision of Jesus as Son of Man, standing at the right hand of the Father? Consider both elements in your answer: the designation (Son of Man) and the posture (standing, rather than sitting, at the Father’s side). Use the Bible, Ger, and one additional scholarly source to research this and to present your position.</w:t>
      </w:r>
      <w:r w:rsidR="002813EA" w:rsidRPr="00EE3766">
        <w:rPr>
          <w:rFonts w:ascii="Times New Roman" w:hAnsi="Times New Roman" w:cs="Times New Roman"/>
          <w:i/>
          <w:iCs/>
          <w:color w:val="202124"/>
          <w:sz w:val="24"/>
          <w:szCs w:val="24"/>
          <w:shd w:val="clear" w:color="auto" w:fill="FFFFFF"/>
        </w:rPr>
        <w:t xml:space="preserve"> </w:t>
      </w:r>
    </w:p>
    <w:p w14:paraId="44791A2C" w14:textId="3D56AF4D" w:rsidR="00110988" w:rsidRDefault="005E7D53" w:rsidP="00CF254D">
      <w:pPr>
        <w:pStyle w:val="NormalWeb"/>
        <w:spacing w:before="0" w:beforeAutospacing="0" w:after="0" w:afterAutospacing="0" w:line="480" w:lineRule="auto"/>
        <w:ind w:firstLine="720"/>
        <w:contextualSpacing/>
        <w:rPr>
          <w:color w:val="0E101A"/>
        </w:rPr>
      </w:pPr>
      <w:r>
        <w:rPr>
          <w:color w:val="0E101A"/>
        </w:rPr>
        <w:t xml:space="preserve">The Bible illustrates the scenario of the stoning of Stephen to be an illustration of the suffering of early believers for the sake of the gospel of Jesus. The designation that is found in the vision of Stephen is very symbolic. When the people stoned Stephen, the main reason was to ensure a downfall to what he was proclaiming, which was the Good News </w:t>
      </w:r>
      <w:r w:rsidR="00CF254D">
        <w:rPr>
          <w:color w:val="0E101A"/>
        </w:rPr>
        <w:t>about the Son of Man</w:t>
      </w:r>
      <w:r>
        <w:rPr>
          <w:color w:val="0E101A"/>
        </w:rPr>
        <w:t>. Therefore, when the son of a man appeared, it was an affirmation that what he was preaching was the truth about him. When Stephen described the vision as the son of man was standing, it was to symbolize that it was a sign of victory despite Stephen's fall</w:t>
      </w:r>
      <w:r w:rsidR="00CF254D">
        <w:rPr>
          <w:rStyle w:val="FootnoteReference"/>
          <w:color w:val="0E101A"/>
        </w:rPr>
        <w:footnoteReference w:id="1"/>
      </w:r>
      <w:r>
        <w:rPr>
          <w:color w:val="0E101A"/>
        </w:rPr>
        <w:t>. By the symbol of standing, it assured Stephen that Jesus was ready to come down and assist in fighting the battle from the throne of victory. Additionally, there was an assurance that Jesus was still standing despite the fight for the downfall of his work and his message. </w:t>
      </w:r>
    </w:p>
    <w:p w14:paraId="078BA14A" w14:textId="38BCBA50" w:rsidR="0065024B" w:rsidRPr="00CF254D" w:rsidRDefault="00D92379" w:rsidP="00CC1140">
      <w:pPr>
        <w:pStyle w:val="NormalWeb"/>
        <w:spacing w:before="0" w:beforeAutospacing="0" w:after="0" w:afterAutospacing="0" w:line="480" w:lineRule="auto"/>
        <w:contextualSpacing/>
        <w:rPr>
          <w:b/>
          <w:i/>
          <w:iCs/>
          <w:color w:val="0E101A"/>
        </w:rPr>
      </w:pPr>
      <w:r w:rsidRPr="00CF254D">
        <w:rPr>
          <w:rStyle w:val="Emphasis"/>
          <w:b/>
          <w:i w:val="0"/>
          <w:color w:val="0E101A"/>
        </w:rPr>
        <w:t>2. Cornelius</w:t>
      </w:r>
      <w:r w:rsidR="005E7D53" w:rsidRPr="00CF254D">
        <w:rPr>
          <w:rStyle w:val="Emphasis"/>
          <w:b/>
          <w:i w:val="0"/>
          <w:color w:val="0E101A"/>
        </w:rPr>
        <w:t xml:space="preserve"> is described in Acts 10 as devout, fearing God, and prayerful. Indeed, God took note of his good works and heard his prayers. Why was it necessary for Peter to preach the gospel to him? Use the Bible, Ger, and one additional scholarly source to research this and present your position.</w:t>
      </w:r>
    </w:p>
    <w:p w14:paraId="0248F27D" w14:textId="4D74EF29" w:rsidR="00CC1140" w:rsidRPr="00FC3D5C" w:rsidRDefault="005E7D53" w:rsidP="00FC3D5C">
      <w:pPr>
        <w:pStyle w:val="NormalWeb"/>
        <w:spacing w:before="0" w:beforeAutospacing="0" w:after="0" w:afterAutospacing="0" w:line="480" w:lineRule="auto"/>
        <w:contextualSpacing/>
        <w:rPr>
          <w:color w:val="0E101A"/>
        </w:rPr>
      </w:pPr>
      <w:r>
        <w:rPr>
          <w:color w:val="0E101A"/>
        </w:rPr>
        <w:t xml:space="preserve">In Acts 10, the Bible describes Cornelius as a man whose character, according to the earthly standards, was perfect. In fact, in human terms, the man was a guarantee he pleased God in all </w:t>
      </w:r>
      <w:r>
        <w:rPr>
          <w:color w:val="0E101A"/>
        </w:rPr>
        <w:lastRenderedPageBreak/>
        <w:t>that he did. However, the gospel of Jesus was not about good deeds. There was something extra that Cornelius needed, and that was to hear the good news that one was necessary to believe in to be acceptable in the kingdom of God. The good news was in believing in the death and resurrection of the son of a man sent by God. Cornelius's good deeds were supposed to be the fruits of the faith In God, which was to be actualized by believing in the gospel of Jesus Christ</w:t>
      </w:r>
      <w:r w:rsidR="00CF254D">
        <w:rPr>
          <w:color w:val="0E101A"/>
        </w:rPr>
        <w:t>, the son of God</w:t>
      </w:r>
      <w:r w:rsidR="00CF254D">
        <w:rPr>
          <w:rStyle w:val="FootnoteReference"/>
          <w:color w:val="0E101A"/>
        </w:rPr>
        <w:footnoteReference w:id="2"/>
      </w:r>
      <w:r>
        <w:rPr>
          <w:color w:val="0E101A"/>
        </w:rPr>
        <w:t>. Therefore, since Cornelius was doing it blindly without understanding, there were better rewards of his works after receiving the faith, God had to intervene through the apostle Peter. </w:t>
      </w:r>
    </w:p>
    <w:p w14:paraId="5385C4A9"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3401109C"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623DFB48"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223BAC8C"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3C97CD88"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7B3A8029"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3B6CF0C2"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5805C1BE"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7963802A"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136C3969"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5A17B866"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29A8AC54" w14:textId="77777777"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p>
    <w:p w14:paraId="3E3785DF" w14:textId="4DFD2C5B" w:rsidR="00D92379" w:rsidRDefault="00D92379" w:rsidP="00CC1140">
      <w:pPr>
        <w:spacing w:after="0" w:line="480" w:lineRule="auto"/>
        <w:contextualSpacing/>
        <w:rPr>
          <w:rFonts w:ascii="Times New Roman" w:hAnsi="Times New Roman" w:cs="Times New Roman"/>
          <w:b/>
          <w:bCs/>
          <w:color w:val="202124"/>
          <w:sz w:val="24"/>
          <w:szCs w:val="24"/>
          <w:shd w:val="clear" w:color="auto" w:fill="FFFFFF"/>
        </w:rPr>
      </w:pPr>
      <w:bookmarkStart w:id="0" w:name="_GoBack"/>
      <w:bookmarkEnd w:id="0"/>
    </w:p>
    <w:p w14:paraId="78D9337E" w14:textId="03B788FF" w:rsidR="000E07AB" w:rsidRPr="00FC3D5C" w:rsidRDefault="000E07AB" w:rsidP="00CF254D">
      <w:pPr>
        <w:spacing w:after="0" w:line="480" w:lineRule="auto"/>
        <w:contextualSpacing/>
        <w:jc w:val="center"/>
        <w:rPr>
          <w:rFonts w:ascii="Times New Roman" w:hAnsi="Times New Roman" w:cs="Times New Roman"/>
          <w:b/>
          <w:bCs/>
          <w:color w:val="202124"/>
          <w:sz w:val="24"/>
          <w:szCs w:val="24"/>
          <w:shd w:val="clear" w:color="auto" w:fill="FFFFFF"/>
        </w:rPr>
      </w:pPr>
      <w:r w:rsidRPr="00FC3D5C">
        <w:rPr>
          <w:rFonts w:ascii="Times New Roman" w:hAnsi="Times New Roman" w:cs="Times New Roman"/>
          <w:b/>
          <w:bCs/>
          <w:color w:val="202124"/>
          <w:sz w:val="24"/>
          <w:szCs w:val="24"/>
          <w:shd w:val="clear" w:color="auto" w:fill="FFFFFF"/>
        </w:rPr>
        <w:lastRenderedPageBreak/>
        <w:t>References</w:t>
      </w:r>
    </w:p>
    <w:p w14:paraId="4F60177A" w14:textId="2265BFC3" w:rsidR="000E07AB" w:rsidRPr="00EE3766" w:rsidRDefault="004B32EE" w:rsidP="00B124C5">
      <w:pPr>
        <w:spacing w:after="0" w:line="480" w:lineRule="auto"/>
        <w:ind w:left="720" w:hanging="720"/>
        <w:contextualSpacing/>
        <w:rPr>
          <w:rFonts w:ascii="Times New Roman" w:hAnsi="Times New Roman" w:cs="Times New Roman"/>
          <w:sz w:val="24"/>
          <w:szCs w:val="24"/>
        </w:rPr>
      </w:pPr>
      <w:r w:rsidRPr="00EE3766">
        <w:rPr>
          <w:rFonts w:ascii="Times New Roman" w:hAnsi="Times New Roman" w:cs="Times New Roman"/>
          <w:sz w:val="24"/>
          <w:szCs w:val="24"/>
        </w:rPr>
        <w:t>Ger, S., Couch, M. &amp; Hindson, E. (2004). </w:t>
      </w:r>
      <w:r w:rsidRPr="00EE3766">
        <w:rPr>
          <w:rStyle w:val="Emphasis"/>
          <w:rFonts w:ascii="Times New Roman" w:hAnsi="Times New Roman" w:cs="Times New Roman"/>
          <w:sz w:val="24"/>
          <w:szCs w:val="24"/>
        </w:rPr>
        <w:t>The book of Acts: witnesses to the world</w:t>
      </w:r>
      <w:r w:rsidRPr="00EE3766">
        <w:rPr>
          <w:rFonts w:ascii="Times New Roman" w:hAnsi="Times New Roman" w:cs="Times New Roman"/>
          <w:sz w:val="24"/>
          <w:szCs w:val="24"/>
        </w:rPr>
        <w:t>. Chattanooga, Tenn: AMG Publishers.</w:t>
      </w:r>
    </w:p>
    <w:p w14:paraId="347A5323" w14:textId="7C122120" w:rsidR="00990551" w:rsidRPr="00EE3766" w:rsidRDefault="00990551" w:rsidP="00B124C5">
      <w:pPr>
        <w:spacing w:after="0" w:line="480" w:lineRule="auto"/>
        <w:ind w:left="720" w:hanging="720"/>
        <w:contextualSpacing/>
        <w:rPr>
          <w:rFonts w:ascii="Times New Roman" w:hAnsi="Times New Roman" w:cs="Times New Roman"/>
          <w:sz w:val="24"/>
          <w:szCs w:val="24"/>
        </w:rPr>
      </w:pPr>
      <w:r w:rsidRPr="00EE3766">
        <w:rPr>
          <w:rFonts w:ascii="Times New Roman" w:hAnsi="Times New Roman" w:cs="Times New Roman"/>
          <w:sz w:val="24"/>
          <w:szCs w:val="24"/>
          <w:shd w:val="clear" w:color="auto" w:fill="FFFFFF"/>
        </w:rPr>
        <w:t>Spencer, F.S. (2008). Book Review: And I Turned to See the Voice: The Rhetoric of Vision in the New Testament. </w:t>
      </w:r>
      <w:r w:rsidRPr="00EE3766">
        <w:rPr>
          <w:rStyle w:val="Emphasis"/>
          <w:rFonts w:ascii="Times New Roman" w:hAnsi="Times New Roman" w:cs="Times New Roman"/>
          <w:sz w:val="24"/>
          <w:szCs w:val="24"/>
          <w:shd w:val="clear" w:color="auto" w:fill="FFFFFF"/>
        </w:rPr>
        <w:t>Interpretation, 62</w:t>
      </w:r>
      <w:r w:rsidRPr="00EE3766">
        <w:rPr>
          <w:rFonts w:ascii="Times New Roman" w:hAnsi="Times New Roman" w:cs="Times New Roman"/>
          <w:sz w:val="24"/>
          <w:szCs w:val="24"/>
          <w:shd w:val="clear" w:color="auto" w:fill="FFFFFF"/>
        </w:rPr>
        <w:t>, 448 - 448.</w:t>
      </w:r>
    </w:p>
    <w:sectPr w:rsidR="00990551" w:rsidRPr="00EE37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D7F71" w14:textId="77777777" w:rsidR="004B51FA" w:rsidRDefault="004B51FA" w:rsidP="00CF254D">
      <w:pPr>
        <w:spacing w:after="0" w:line="240" w:lineRule="auto"/>
      </w:pPr>
      <w:r>
        <w:separator/>
      </w:r>
    </w:p>
  </w:endnote>
  <w:endnote w:type="continuationSeparator" w:id="0">
    <w:p w14:paraId="24750584" w14:textId="77777777" w:rsidR="004B51FA" w:rsidRDefault="004B51FA" w:rsidP="00CF2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BBD81" w14:textId="77777777" w:rsidR="004B51FA" w:rsidRDefault="004B51FA" w:rsidP="00CF254D">
      <w:pPr>
        <w:spacing w:after="0" w:line="240" w:lineRule="auto"/>
      </w:pPr>
      <w:r>
        <w:separator/>
      </w:r>
    </w:p>
  </w:footnote>
  <w:footnote w:type="continuationSeparator" w:id="0">
    <w:p w14:paraId="13C15C2E" w14:textId="77777777" w:rsidR="004B51FA" w:rsidRDefault="004B51FA" w:rsidP="00CF254D">
      <w:pPr>
        <w:spacing w:after="0" w:line="240" w:lineRule="auto"/>
      </w:pPr>
      <w:r>
        <w:continuationSeparator/>
      </w:r>
    </w:p>
  </w:footnote>
  <w:footnote w:id="1">
    <w:p w14:paraId="1539FB80" w14:textId="77777777" w:rsidR="00CF254D" w:rsidRPr="00CF254D" w:rsidRDefault="00CF254D" w:rsidP="00CF254D">
      <w:pPr>
        <w:pStyle w:val="FootnoteText"/>
        <w:rPr>
          <w:rFonts w:ascii="Times New Roman" w:hAnsi="Times New Roman" w:cs="Times New Roman"/>
          <w:sz w:val="22"/>
          <w:szCs w:val="22"/>
        </w:rPr>
      </w:pPr>
      <w:r w:rsidRPr="00CF254D">
        <w:rPr>
          <w:rStyle w:val="FootnoteReference"/>
          <w:rFonts w:ascii="Times New Roman" w:hAnsi="Times New Roman" w:cs="Times New Roman"/>
          <w:sz w:val="22"/>
          <w:szCs w:val="22"/>
        </w:rPr>
        <w:footnoteRef/>
      </w:r>
      <w:r w:rsidRPr="00CF254D">
        <w:rPr>
          <w:rFonts w:ascii="Times New Roman" w:hAnsi="Times New Roman" w:cs="Times New Roman"/>
          <w:sz w:val="22"/>
          <w:szCs w:val="22"/>
        </w:rPr>
        <w:t xml:space="preserve"> Ger, S., Couch, M. &amp; Hindson, E. (2004). </w:t>
      </w:r>
      <w:r w:rsidRPr="00CF254D">
        <w:rPr>
          <w:rFonts w:ascii="Times New Roman" w:hAnsi="Times New Roman" w:cs="Times New Roman"/>
          <w:i/>
          <w:iCs/>
          <w:sz w:val="22"/>
          <w:szCs w:val="22"/>
        </w:rPr>
        <w:t>The book of Acts: witnesses to the world</w:t>
      </w:r>
      <w:r w:rsidRPr="00CF254D">
        <w:rPr>
          <w:rFonts w:ascii="Times New Roman" w:hAnsi="Times New Roman" w:cs="Times New Roman"/>
          <w:sz w:val="22"/>
          <w:szCs w:val="22"/>
        </w:rPr>
        <w:t>. Chattanooga, Tenn: AMG Publishers.</w:t>
      </w:r>
    </w:p>
    <w:p w14:paraId="418FF16B" w14:textId="4DE9965B" w:rsidR="00CF254D" w:rsidRDefault="00CF254D">
      <w:pPr>
        <w:pStyle w:val="FootnoteText"/>
      </w:pPr>
    </w:p>
  </w:footnote>
  <w:footnote w:id="2">
    <w:p w14:paraId="1A07D6C2" w14:textId="1556F4BE" w:rsidR="00CF254D" w:rsidRPr="00CF254D" w:rsidRDefault="00CF254D">
      <w:pPr>
        <w:pStyle w:val="FootnoteText"/>
        <w:rPr>
          <w:rFonts w:ascii="Times New Roman" w:hAnsi="Times New Roman" w:cs="Times New Roman"/>
          <w:sz w:val="24"/>
          <w:szCs w:val="24"/>
        </w:rPr>
      </w:pPr>
      <w:r w:rsidRPr="00CF254D">
        <w:rPr>
          <w:rStyle w:val="FootnoteReference"/>
          <w:rFonts w:ascii="Times New Roman" w:hAnsi="Times New Roman" w:cs="Times New Roman"/>
          <w:sz w:val="24"/>
          <w:szCs w:val="24"/>
        </w:rPr>
        <w:footnoteRef/>
      </w:r>
      <w:r w:rsidRPr="00CF254D">
        <w:rPr>
          <w:rFonts w:ascii="Times New Roman" w:hAnsi="Times New Roman" w:cs="Times New Roman"/>
          <w:sz w:val="24"/>
          <w:szCs w:val="24"/>
        </w:rPr>
        <w:t xml:space="preserve"> Spencer, F.S. (2008). Book Review: And I Turned to See the Voice: The Rhetoric of Vision in the New Testament. Interpretation, 62, 448 - 448.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687"/>
    <w:rsid w:val="00070E90"/>
    <w:rsid w:val="000E07AB"/>
    <w:rsid w:val="00110988"/>
    <w:rsid w:val="00125079"/>
    <w:rsid w:val="001517F1"/>
    <w:rsid w:val="00262436"/>
    <w:rsid w:val="002813EA"/>
    <w:rsid w:val="00295311"/>
    <w:rsid w:val="002A654E"/>
    <w:rsid w:val="00387B7F"/>
    <w:rsid w:val="003946A1"/>
    <w:rsid w:val="003D4F92"/>
    <w:rsid w:val="004235B2"/>
    <w:rsid w:val="00425BD3"/>
    <w:rsid w:val="00430E0A"/>
    <w:rsid w:val="00433F6F"/>
    <w:rsid w:val="0047388A"/>
    <w:rsid w:val="004A5979"/>
    <w:rsid w:val="004B32EE"/>
    <w:rsid w:val="004B51FA"/>
    <w:rsid w:val="00500EDD"/>
    <w:rsid w:val="00503D2A"/>
    <w:rsid w:val="0056562F"/>
    <w:rsid w:val="00571687"/>
    <w:rsid w:val="005E7D53"/>
    <w:rsid w:val="00604ECA"/>
    <w:rsid w:val="00610F95"/>
    <w:rsid w:val="0065022D"/>
    <w:rsid w:val="0065024B"/>
    <w:rsid w:val="00692087"/>
    <w:rsid w:val="006B3CF7"/>
    <w:rsid w:val="007379B1"/>
    <w:rsid w:val="00764CB6"/>
    <w:rsid w:val="00781EDE"/>
    <w:rsid w:val="007C2871"/>
    <w:rsid w:val="00836E49"/>
    <w:rsid w:val="00892742"/>
    <w:rsid w:val="00990551"/>
    <w:rsid w:val="00A66852"/>
    <w:rsid w:val="00AB7128"/>
    <w:rsid w:val="00AE12F4"/>
    <w:rsid w:val="00B124C5"/>
    <w:rsid w:val="00B2098C"/>
    <w:rsid w:val="00CB5657"/>
    <w:rsid w:val="00CC1140"/>
    <w:rsid w:val="00CE101E"/>
    <w:rsid w:val="00CE241E"/>
    <w:rsid w:val="00CF254D"/>
    <w:rsid w:val="00D261F0"/>
    <w:rsid w:val="00D92379"/>
    <w:rsid w:val="00DE31A2"/>
    <w:rsid w:val="00E31D3D"/>
    <w:rsid w:val="00E84AE8"/>
    <w:rsid w:val="00EB28BB"/>
    <w:rsid w:val="00EE3766"/>
    <w:rsid w:val="00F41347"/>
    <w:rsid w:val="00F41D3F"/>
    <w:rsid w:val="00F44E4F"/>
    <w:rsid w:val="00FC3D5C"/>
    <w:rsid w:val="00FF2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8EADE"/>
  <w15:chartTrackingRefBased/>
  <w15:docId w15:val="{1E04565D-D901-4F2B-8FAE-6270F49A4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687"/>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71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B32EE"/>
    <w:rPr>
      <w:i/>
      <w:iCs/>
    </w:rPr>
  </w:style>
  <w:style w:type="paragraph" w:styleId="NormalWeb">
    <w:name w:val="Normal (Web)"/>
    <w:basedOn w:val="Normal"/>
    <w:uiPriority w:val="99"/>
    <w:unhideWhenUsed/>
    <w:rsid w:val="005E7D53"/>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CF25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254D"/>
    <w:rPr>
      <w:sz w:val="20"/>
      <w:szCs w:val="20"/>
    </w:rPr>
  </w:style>
  <w:style w:type="character" w:styleId="FootnoteReference">
    <w:name w:val="footnote reference"/>
    <w:basedOn w:val="DefaultParagraphFont"/>
    <w:uiPriority w:val="99"/>
    <w:semiHidden/>
    <w:unhideWhenUsed/>
    <w:rsid w:val="00CF25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646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BE3EB-A991-413D-843D-26832D617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4</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64</cp:revision>
  <dcterms:created xsi:type="dcterms:W3CDTF">2020-09-19T21:12:00Z</dcterms:created>
  <dcterms:modified xsi:type="dcterms:W3CDTF">2020-09-20T03:22:00Z</dcterms:modified>
</cp:coreProperties>
</file>